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التربية الفنية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المتوسط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التربية الفنية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الزخرفة1-&gt;تصميم ابتكاري للوحدات الزخرفية اللانهائية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مراجعة شاملة للوحدة الأولى (مجال الرسم والتلوين) وتقييم الأعمال الفنية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والتلوين-&gt;الإعلان والتصميمات المطبوعة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والتلوين-&gt;الرسومات الرمزية في الشعارات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والتلوين-&gt;الفن الحديث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الرسم والتلوين-&gt;الفن الحديث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الخشب-&gt;الحرق على الخشب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الخشب-&gt;الأثاث الخشبي وتزيينه بالحفر والقشرة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تقويم الوحدة الثانية والثالثة وعرض إنتاج الطلاب في المعرض المصغر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المعادن-&gt;تعتيق المعادن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أشغال المعادن-&gt;الضغط على المعدن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الزخرفة1-&gt;تلوين التصميم الابتكاري للوحدات الزخرفية اللانهائية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الاختبارات النهائية وتقييم المشاريع الفنية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النسيج-&gt;نسيج الكليم</w:t>
            </w:r>
          </w:p>
          <w:p>
            <w:pPr>
              <w:bidi/>
              <w:spacing w:after="40"/>
              <w:jc w:val="center"/>
            </w:pPr>
            <w:r>
              <w:rPr>
                <w:b w:val="false"/>
                <w:bCs w:val="false"/>
                <w:color w:val="1976D2"/>
                <w:sz w:val="17"/>
                <w:szCs w:val="17"/>
                <w:rtl/>
                <w:rFonts w:ascii="Arial" w:cs="Arial" w:eastAsia="Arial" w:hAnsi="Arial"/>
              </w:rPr>
              <w:t xml:space="preserve">مراجعة عامة للمنهج وإنهاء ملفات الإنجاز للطلاب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البدء في تنفيذ المشروع الفصلي المجمع (تطبيق المهارات المكتسبة)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النسيج-&gt;نسيج الكليم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مجال النسيج-&gt;نسيج الكليم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2026-01-25T17:35:05.840Z</dcterms:created>
  <dcterms:modified xsi:type="dcterms:W3CDTF">2026-01-25T17:35:05.840Z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